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7170" w14:textId="77777777" w:rsidR="00B7430F" w:rsidRPr="00E67070" w:rsidRDefault="00B7430F" w:rsidP="00D30766">
      <w:pPr>
        <w:pStyle w:val="Title"/>
        <w:jc w:val="center"/>
        <w:rPr>
          <w:color w:val="4F81BD"/>
          <w:lang w:val="uk-UA"/>
        </w:rPr>
      </w:pPr>
      <w:r w:rsidRPr="00E67070">
        <w:rPr>
          <w:color w:val="4F81BD"/>
          <w:lang w:val="uk-UA"/>
        </w:rPr>
        <w:t>КРИТЕРІЇ ПРИЙНЯТНОСТІ</w:t>
      </w:r>
    </w:p>
    <w:p w14:paraId="3F503BA7" w14:textId="5E83AFA1" w:rsidR="00B7430F" w:rsidRPr="00E67070" w:rsidRDefault="00B7430F" w:rsidP="00D30766">
      <w:pPr>
        <w:pStyle w:val="Subtitle"/>
        <w:jc w:val="center"/>
        <w:rPr>
          <w:lang w:val="uk-UA"/>
        </w:rPr>
      </w:pPr>
      <w:r w:rsidRPr="584D7520">
        <w:rPr>
          <w:lang w:val="uk-UA"/>
        </w:rPr>
        <w:t xml:space="preserve">участі в конкурсі </w:t>
      </w:r>
      <w:r w:rsidR="00C9697E" w:rsidRPr="584D7520">
        <w:rPr>
          <w:lang w:val="uk-UA"/>
        </w:rPr>
        <w:t xml:space="preserve">грантів </w:t>
      </w:r>
      <w:r w:rsidR="00180A2D" w:rsidRPr="584D7520">
        <w:rPr>
          <w:lang w:val="uk-UA"/>
        </w:rPr>
        <w:t xml:space="preserve">в </w:t>
      </w:r>
      <w:r w:rsidR="00D30766" w:rsidRPr="584D7520">
        <w:rPr>
          <w:lang w:val="uk-UA"/>
        </w:rPr>
        <w:t xml:space="preserve">рамках </w:t>
      </w:r>
      <w:proofErr w:type="spellStart"/>
      <w:r w:rsidR="007E03FC" w:rsidRPr="584D7520">
        <w:rPr>
          <w:lang w:val="uk-UA"/>
        </w:rPr>
        <w:t>проєкт</w:t>
      </w:r>
      <w:r w:rsidR="00D30766" w:rsidRPr="584D7520">
        <w:rPr>
          <w:lang w:val="uk-UA"/>
        </w:rPr>
        <w:t>у</w:t>
      </w:r>
      <w:proofErr w:type="spellEnd"/>
      <w:r w:rsidR="00D30766" w:rsidRPr="584D7520">
        <w:rPr>
          <w:lang w:val="uk-UA"/>
        </w:rPr>
        <w:t xml:space="preserve"> </w:t>
      </w:r>
      <w:r w:rsidRPr="00CC26F2">
        <w:rPr>
          <w:lang w:val="ru-RU"/>
        </w:rPr>
        <w:br/>
      </w:r>
      <w:r w:rsidR="00CC26F2">
        <w:rPr>
          <w:lang w:val="uk-UA"/>
        </w:rPr>
        <w:t>«Екстрена підтримка громадянського суспільства та ЗМІ у відповідь на війну в Україні</w:t>
      </w:r>
      <w:bookmarkStart w:id="0" w:name="_GoBack"/>
      <w:bookmarkEnd w:id="0"/>
      <w:r w:rsidR="58E0E199" w:rsidRPr="584D7520">
        <w:rPr>
          <w:lang w:val="uk-UA"/>
        </w:rPr>
        <w:t>»</w:t>
      </w:r>
      <w:r w:rsidR="00823B08" w:rsidRPr="584D7520">
        <w:rPr>
          <w:lang w:val="uk-UA"/>
        </w:rPr>
        <w:t xml:space="preserve"> за</w:t>
      </w:r>
      <w:r w:rsidR="00D30766" w:rsidRPr="584D7520">
        <w:rPr>
          <w:lang w:val="uk-UA"/>
        </w:rPr>
        <w:t> </w:t>
      </w:r>
      <w:r w:rsidR="00823B08" w:rsidRPr="584D7520">
        <w:rPr>
          <w:lang w:val="uk-UA"/>
        </w:rPr>
        <w:t>підтримки ЄС</w:t>
      </w:r>
    </w:p>
    <w:p w14:paraId="52705BEA" w14:textId="77777777" w:rsidR="00B7430F" w:rsidRPr="00E67070" w:rsidRDefault="00B7430F" w:rsidP="00513583">
      <w:pPr>
        <w:jc w:val="both"/>
        <w:rPr>
          <w:lang w:val="uk-UA"/>
        </w:rPr>
      </w:pPr>
      <w:r w:rsidRPr="00E67070">
        <w:rPr>
          <w:lang w:val="uk-UA"/>
        </w:rPr>
        <w:t>До участі</w:t>
      </w:r>
      <w:r w:rsidR="004F208B" w:rsidRPr="00E67070">
        <w:rPr>
          <w:lang w:val="uk-UA"/>
        </w:rPr>
        <w:t xml:space="preserve"> </w:t>
      </w:r>
      <w:r w:rsidRPr="00E67070">
        <w:rPr>
          <w:lang w:val="uk-UA"/>
        </w:rPr>
        <w:t xml:space="preserve">в конкурсі можуть бути допущені резиденти України – юридичні особи, які безпосередньо відповідають за підготовку і управління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ом</w:t>
      </w:r>
      <w:proofErr w:type="spellEnd"/>
      <w:r w:rsidRPr="00E67070">
        <w:rPr>
          <w:lang w:val="uk-UA"/>
        </w:rPr>
        <w:t xml:space="preserve"> разом зі своїми партнерами, а не діють в якості посередника. </w:t>
      </w:r>
    </w:p>
    <w:p w14:paraId="1FA794C8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>Потенційні заявники не можуть брати участь у конкурсі грантів та отримати грант у наступних випадках:</w:t>
      </w:r>
    </w:p>
    <w:p w14:paraId="563449DE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 xml:space="preserve">якщо вони є банкрутами або знаходяться в процесі ліквідації, </w:t>
      </w:r>
      <w:r w:rsidR="00027077" w:rsidRPr="00E67070">
        <w:rPr>
          <w:lang w:val="uk-UA"/>
        </w:rPr>
        <w:t xml:space="preserve">щодо них порушено справу, яка перебуває у </w:t>
      </w:r>
      <w:r w:rsidRPr="00E67070">
        <w:rPr>
          <w:lang w:val="uk-UA"/>
        </w:rPr>
        <w:t>суд</w:t>
      </w:r>
      <w:r w:rsidR="00027077" w:rsidRPr="00E67070">
        <w:rPr>
          <w:lang w:val="uk-UA"/>
        </w:rPr>
        <w:t>овому провадженні</w:t>
      </w:r>
      <w:r w:rsidRPr="00E67070">
        <w:rPr>
          <w:lang w:val="uk-UA"/>
        </w:rPr>
        <w:t xml:space="preserve">, </w:t>
      </w:r>
      <w:r w:rsidR="00D16DDA" w:rsidRPr="00E67070">
        <w:rPr>
          <w:lang w:val="uk-UA"/>
        </w:rPr>
        <w:t xml:space="preserve">або відкрито виконавче провадження, </w:t>
      </w:r>
      <w:r w:rsidRPr="00E67070">
        <w:rPr>
          <w:lang w:val="uk-UA"/>
        </w:rPr>
        <w:t>вони мають домовленість із кредиторами, призупинили господарську діяльність, є суб’єктами проваджень у зв’язку з такими справами, або знаходяться в будь-якій аналогічній ситуації, яка виникла через подібну процедуру, передбачену в українському законодавстві або нормативних актах;</w:t>
      </w:r>
    </w:p>
    <w:p w14:paraId="52F5599D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або особи, які мають повноваження представництва, прийняття рішень і контролю над ними, були засуджені за вчинення злочину стосовно їх професійної поведінки рішенням компетентного суду, яка має силу остаточного рішення по справі;</w:t>
      </w:r>
    </w:p>
    <w:p w14:paraId="5A58B258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винні в серйозному проступку професійного характеру, доведеному будь-якими засобами, які можуть бути обґрунтовані ІЕД;</w:t>
      </w:r>
    </w:p>
    <w:p w14:paraId="2F68818E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не виконали зобов'язання, пов'язані з виплатою внесків соціального страхування або сплати податків відповідно до законодавства України;</w:t>
      </w:r>
    </w:p>
    <w:p w14:paraId="31A6A3EF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або особи, які мають повноваження представництва, прийняття рішень і контролю над ними, були суб’єктом судового рішення, яке має силу остаточного рішення по справі щодо шахрайства, корупції, участі у злочинній організації, відмивання грошей або будь-якої іншої незаконної діяльності, якщо така незаконна діяльність завдає шкоди фінансовим інтересам ЄС;</w:t>
      </w:r>
    </w:p>
    <w:p w14:paraId="2E85739B" w14:textId="77777777" w:rsidR="00B7430F" w:rsidRPr="00E67070" w:rsidRDefault="00B7430F" w:rsidP="008000ED">
      <w:pPr>
        <w:pStyle w:val="ListParagraph1"/>
        <w:numPr>
          <w:ilvl w:val="0"/>
          <w:numId w:val="1"/>
        </w:numPr>
        <w:jc w:val="both"/>
        <w:rPr>
          <w:lang w:val="uk-UA"/>
        </w:rPr>
      </w:pPr>
      <w:r w:rsidRPr="00E67070">
        <w:rPr>
          <w:lang w:val="uk-UA"/>
        </w:rPr>
        <w:t>якщо вони на момент подачі заявки підлягають адміністративному покаранню відповідно до розділу 2.3.4 Практичного посібника (PRAG)</w:t>
      </w:r>
      <w:r w:rsidRPr="00E67070">
        <w:rPr>
          <w:rStyle w:val="FootnoteReference"/>
          <w:lang w:val="uk-UA"/>
        </w:rPr>
        <w:footnoteReference w:id="1"/>
      </w:r>
      <w:r w:rsidRPr="00E67070">
        <w:rPr>
          <w:lang w:val="uk-UA"/>
        </w:rPr>
        <w:t>.</w:t>
      </w:r>
    </w:p>
    <w:p w14:paraId="4CD9BCDA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>У грантовій заявці заявник підтверджує, що жоден з вищенаведених випадків його не стосується.</w:t>
      </w:r>
    </w:p>
    <w:p w14:paraId="4FDEB016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lang w:val="uk-UA"/>
        </w:rPr>
        <w:t xml:space="preserve">Гранти не можуть бути </w:t>
      </w:r>
      <w:r w:rsidR="00027077" w:rsidRPr="00E67070">
        <w:rPr>
          <w:lang w:val="uk-UA"/>
        </w:rPr>
        <w:t>нада</w:t>
      </w:r>
      <w:r w:rsidRPr="00E67070">
        <w:rPr>
          <w:lang w:val="uk-UA"/>
        </w:rPr>
        <w:t>ні заявникам, які під час конкурсу:</w:t>
      </w:r>
    </w:p>
    <w:p w14:paraId="577D96D5" w14:textId="77777777" w:rsidR="00B7430F" w:rsidRPr="00E67070" w:rsidRDefault="00B7430F" w:rsidP="008000ED">
      <w:pPr>
        <w:pStyle w:val="ListParagraph1"/>
        <w:numPr>
          <w:ilvl w:val="0"/>
          <w:numId w:val="1"/>
        </w:num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перебувають в ситуації, що має ознаки конфлікту інтересів або корупційної діяльності;</w:t>
      </w:r>
    </w:p>
    <w:p w14:paraId="7C78802C" w14:textId="77777777" w:rsidR="00B7430F" w:rsidRPr="00E67070" w:rsidRDefault="00B7430F" w:rsidP="008000ED">
      <w:pPr>
        <w:pStyle w:val="ListParagraph1"/>
        <w:numPr>
          <w:ilvl w:val="0"/>
          <w:numId w:val="1"/>
        </w:num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надають недостовірні дані при поданні інформації, яка вимагається ІЕД в якості умови для участі в конкурсі, або не надають цю інформацію.</w:t>
      </w:r>
    </w:p>
    <w:p w14:paraId="7AB769B0" w14:textId="77777777" w:rsidR="00B7430F" w:rsidRPr="00E67070" w:rsidRDefault="00B7430F" w:rsidP="008A1C79">
      <w:pPr>
        <w:pStyle w:val="Heading2"/>
        <w:rPr>
          <w:lang w:val="uk-UA"/>
        </w:rPr>
      </w:pPr>
      <w:bookmarkStart w:id="1" w:name="_Toc455744830"/>
      <w:r w:rsidRPr="00E67070">
        <w:rPr>
          <w:lang w:val="uk-UA"/>
        </w:rPr>
        <w:t>Вимоги до грантових заявок</w:t>
      </w:r>
      <w:bookmarkEnd w:id="1"/>
    </w:p>
    <w:p w14:paraId="2549A8D5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u w:val="single"/>
          <w:lang w:val="uk-UA"/>
        </w:rPr>
        <w:t>Тривалість:</w:t>
      </w:r>
      <w:r w:rsidRPr="00E67070">
        <w:rPr>
          <w:lang w:val="uk-UA"/>
        </w:rPr>
        <w:t xml:space="preserve"> Запланована тривалість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 xml:space="preserve"> в грантовій заявці не може перевищувати </w:t>
      </w:r>
      <w:r w:rsidR="005020EE" w:rsidRPr="00E67070">
        <w:rPr>
          <w:lang w:val="uk-UA"/>
        </w:rPr>
        <w:t>12</w:t>
      </w:r>
      <w:r w:rsidRPr="00E67070">
        <w:rPr>
          <w:lang w:val="uk-UA"/>
        </w:rPr>
        <w:t xml:space="preserve"> місяців</w:t>
      </w:r>
      <w:r w:rsidR="005020EE" w:rsidRPr="00E67070">
        <w:rPr>
          <w:lang w:val="uk-UA"/>
        </w:rPr>
        <w:t xml:space="preserve"> або інший період, зазначений у відповідному оголошенні про конкурс грантів</w:t>
      </w:r>
      <w:r w:rsidRPr="00E67070">
        <w:rPr>
          <w:lang w:val="uk-UA"/>
        </w:rPr>
        <w:t>.</w:t>
      </w:r>
    </w:p>
    <w:p w14:paraId="059412A7" w14:textId="49D97B9F" w:rsidR="00B7430F" w:rsidRPr="00E67070" w:rsidRDefault="004936F9" w:rsidP="584D7520">
      <w:pPr>
        <w:jc w:val="both"/>
        <w:rPr>
          <w:lang w:val="uk-UA"/>
        </w:rPr>
      </w:pPr>
      <w:r w:rsidRPr="584D7520">
        <w:rPr>
          <w:u w:val="single"/>
          <w:lang w:val="uk-UA"/>
        </w:rPr>
        <w:t>Максимальний розмір одного гранту</w:t>
      </w:r>
      <w:r w:rsidRPr="584D7520">
        <w:rPr>
          <w:lang w:val="uk-UA"/>
        </w:rPr>
        <w:t xml:space="preserve">, який може отримати заявник, не може перевищувати </w:t>
      </w:r>
      <w:r w:rsidR="7B1E4E27" w:rsidRPr="584D7520">
        <w:rPr>
          <w:rFonts w:cs="Calibri"/>
          <w:lang w:val="uk-UA"/>
        </w:rPr>
        <w:t>сум</w:t>
      </w:r>
      <w:r w:rsidR="4DACE330" w:rsidRPr="584D7520">
        <w:rPr>
          <w:rFonts w:cs="Calibri"/>
          <w:lang w:val="uk-UA"/>
        </w:rPr>
        <w:t>у</w:t>
      </w:r>
      <w:r w:rsidR="7B1E4E27" w:rsidRPr="584D7520">
        <w:rPr>
          <w:rFonts w:cs="Calibri"/>
          <w:lang w:val="uk-UA"/>
        </w:rPr>
        <w:t>,</w:t>
      </w:r>
      <w:r w:rsidR="14822242" w:rsidRPr="584D7520">
        <w:rPr>
          <w:rFonts w:cs="Calibri"/>
          <w:lang w:val="uk-UA"/>
        </w:rPr>
        <w:t xml:space="preserve"> зазначен</w:t>
      </w:r>
      <w:r w:rsidR="40C45A70" w:rsidRPr="584D7520">
        <w:rPr>
          <w:rFonts w:cs="Calibri"/>
          <w:lang w:val="uk-UA"/>
        </w:rPr>
        <w:t>у</w:t>
      </w:r>
      <w:r w:rsidR="14822242" w:rsidRPr="584D7520">
        <w:rPr>
          <w:rFonts w:cs="Calibri"/>
          <w:lang w:val="uk-UA"/>
        </w:rPr>
        <w:t xml:space="preserve"> у відповідному оголошенні про конкурс грантів</w:t>
      </w:r>
      <w:r w:rsidRPr="584D7520">
        <w:rPr>
          <w:lang w:val="uk-UA"/>
        </w:rPr>
        <w:t>.</w:t>
      </w:r>
    </w:p>
    <w:p w14:paraId="085DC7A4" w14:textId="77777777" w:rsidR="00B7430F" w:rsidRPr="00E67070" w:rsidRDefault="00B7430F" w:rsidP="008000ED">
      <w:pPr>
        <w:jc w:val="both"/>
        <w:rPr>
          <w:lang w:val="uk-UA"/>
        </w:rPr>
      </w:pPr>
      <w:r w:rsidRPr="00E67070">
        <w:rPr>
          <w:u w:val="single"/>
          <w:lang w:val="uk-UA"/>
        </w:rPr>
        <w:t>Місце реалізації:</w:t>
      </w:r>
      <w:r w:rsidRPr="00E67070">
        <w:rPr>
          <w:lang w:val="uk-UA"/>
        </w:rPr>
        <w:t xml:space="preserve"> Кож</w:t>
      </w:r>
      <w:r w:rsidR="00E47392" w:rsidRPr="00E67070">
        <w:rPr>
          <w:lang w:val="uk-UA"/>
        </w:rPr>
        <w:t>е</w:t>
      </w:r>
      <w:r w:rsidRPr="00E67070">
        <w:rPr>
          <w:lang w:val="uk-UA"/>
        </w:rPr>
        <w:t xml:space="preserve">н </w:t>
      </w:r>
      <w:proofErr w:type="spellStart"/>
      <w:r w:rsidR="007E03FC" w:rsidRPr="00E67070">
        <w:rPr>
          <w:lang w:val="uk-UA"/>
        </w:rPr>
        <w:t>проєкт</w:t>
      </w:r>
      <w:proofErr w:type="spellEnd"/>
      <w:r w:rsidRPr="00E67070">
        <w:rPr>
          <w:lang w:val="uk-UA"/>
        </w:rPr>
        <w:t xml:space="preserve"> має виконуватись на місце</w:t>
      </w:r>
      <w:r w:rsidR="00F43856" w:rsidRPr="00E67070">
        <w:rPr>
          <w:lang w:val="uk-UA"/>
        </w:rPr>
        <w:t>вому,</w:t>
      </w:r>
      <w:r w:rsidRPr="00E67070">
        <w:rPr>
          <w:lang w:val="uk-UA"/>
        </w:rPr>
        <w:t xml:space="preserve"> регіональному </w:t>
      </w:r>
      <w:r w:rsidR="00F43856" w:rsidRPr="00E67070">
        <w:rPr>
          <w:lang w:val="uk-UA"/>
        </w:rPr>
        <w:t xml:space="preserve">або національному </w:t>
      </w:r>
      <w:r w:rsidRPr="00E67070">
        <w:rPr>
          <w:lang w:val="uk-UA"/>
        </w:rPr>
        <w:t>рівні в Україні.</w:t>
      </w:r>
    </w:p>
    <w:p w14:paraId="63E84756" w14:textId="77777777" w:rsidR="00B7430F" w:rsidRPr="00E67070" w:rsidRDefault="007E03FC" w:rsidP="008000ED">
      <w:pPr>
        <w:jc w:val="both"/>
        <w:rPr>
          <w:lang w:val="uk-UA"/>
        </w:rPr>
      </w:pPr>
      <w:proofErr w:type="spellStart"/>
      <w:r w:rsidRPr="00E67070">
        <w:rPr>
          <w:lang w:val="uk-UA"/>
        </w:rPr>
        <w:lastRenderedPageBreak/>
        <w:t>Проєкт</w:t>
      </w:r>
      <w:r w:rsidR="00B7430F" w:rsidRPr="00E67070">
        <w:rPr>
          <w:lang w:val="uk-UA"/>
        </w:rPr>
        <w:t>и</w:t>
      </w:r>
      <w:proofErr w:type="spellEnd"/>
      <w:r w:rsidR="00B7430F" w:rsidRPr="00E67070">
        <w:rPr>
          <w:lang w:val="uk-UA"/>
        </w:rPr>
        <w:t>, які мають негативний вплив на навколишнє природне середовище або які не відповідають іншим вимогам горизонтальної політики ЄС, не можуть отримати підтримки в рамках грантової програми.</w:t>
      </w:r>
    </w:p>
    <w:p w14:paraId="262ADF53" w14:textId="77777777" w:rsidR="00B7430F" w:rsidRPr="00E67070" w:rsidRDefault="00B7430F" w:rsidP="008000ED">
      <w:pPr>
        <w:jc w:val="both"/>
        <w:rPr>
          <w:b/>
          <w:lang w:val="uk-UA"/>
        </w:rPr>
      </w:pPr>
      <w:r w:rsidRPr="00E67070">
        <w:rPr>
          <w:b/>
          <w:lang w:val="uk-UA"/>
        </w:rPr>
        <w:t xml:space="preserve">Необхідно мати на увазі, що грант не може надаватися з метою (а також не може спричиняти) отримання прибутку заявником і партнерами </w:t>
      </w:r>
      <w:proofErr w:type="spellStart"/>
      <w:r w:rsidR="007E03FC" w:rsidRPr="00E67070">
        <w:rPr>
          <w:b/>
          <w:lang w:val="uk-UA"/>
        </w:rPr>
        <w:t>проєкт</w:t>
      </w:r>
      <w:r w:rsidRPr="00E67070">
        <w:rPr>
          <w:b/>
          <w:lang w:val="uk-UA"/>
        </w:rPr>
        <w:t>у</w:t>
      </w:r>
      <w:proofErr w:type="spellEnd"/>
      <w:r w:rsidRPr="00E67070">
        <w:rPr>
          <w:b/>
          <w:lang w:val="uk-UA"/>
        </w:rPr>
        <w:t>.</w:t>
      </w:r>
    </w:p>
    <w:p w14:paraId="18B45CAF" w14:textId="77777777" w:rsidR="00B7430F" w:rsidRPr="00E67070" w:rsidRDefault="00B7430F" w:rsidP="008000ED">
      <w:pPr>
        <w:jc w:val="both"/>
        <w:rPr>
          <w:lang w:val="uk-UA"/>
        </w:rPr>
      </w:pPr>
      <w:r w:rsidRPr="584D7520">
        <w:rPr>
          <w:lang w:val="uk-UA"/>
        </w:rPr>
        <w:t xml:space="preserve">У випадку гранту прибуток визначається як надлишок загальних доходів над витратами, понесеними заявником на момент подачі </w:t>
      </w:r>
      <w:r w:rsidR="00E47392" w:rsidRPr="584D7520">
        <w:rPr>
          <w:lang w:val="uk-UA"/>
        </w:rPr>
        <w:t xml:space="preserve">фінального звіту за </w:t>
      </w:r>
      <w:proofErr w:type="spellStart"/>
      <w:r w:rsidR="007E03FC" w:rsidRPr="584D7520">
        <w:rPr>
          <w:lang w:val="uk-UA"/>
        </w:rPr>
        <w:t>проєкт</w:t>
      </w:r>
      <w:r w:rsidR="00E47392" w:rsidRPr="584D7520">
        <w:rPr>
          <w:lang w:val="uk-UA"/>
        </w:rPr>
        <w:t>ом</w:t>
      </w:r>
      <w:proofErr w:type="spellEnd"/>
      <w:r w:rsidRPr="584D7520">
        <w:rPr>
          <w:lang w:val="uk-UA"/>
        </w:rPr>
        <w:t>.</w:t>
      </w:r>
    </w:p>
    <w:p w14:paraId="681B3612" w14:textId="46DC438C" w:rsidR="00442CFD" w:rsidRPr="00E67070" w:rsidRDefault="0098886A" w:rsidP="584D7520">
      <w:pPr>
        <w:spacing w:after="120" w:line="240" w:lineRule="auto"/>
        <w:jc w:val="both"/>
        <w:rPr>
          <w:lang w:val="uk-UA"/>
        </w:rPr>
      </w:pPr>
      <w:proofErr w:type="spellStart"/>
      <w:r w:rsidRPr="584D7520">
        <w:rPr>
          <w:lang w:val="uk-UA"/>
        </w:rPr>
        <w:t>Проєкт</w:t>
      </w:r>
      <w:proofErr w:type="spellEnd"/>
      <w:r w:rsidRPr="584D7520">
        <w:rPr>
          <w:lang w:val="uk-UA"/>
        </w:rPr>
        <w:t xml:space="preserve"> має передбачати досягнення прогресу у збільшенні впливу громадськості на хід демократизації в Україні з точки зору </w:t>
      </w:r>
      <w:proofErr w:type="spellStart"/>
      <w:r w:rsidRPr="584D7520">
        <w:rPr>
          <w:lang w:val="uk-UA"/>
        </w:rPr>
        <w:t>адвокації</w:t>
      </w:r>
      <w:proofErr w:type="spellEnd"/>
      <w:r w:rsidRPr="584D7520">
        <w:rPr>
          <w:lang w:val="uk-UA"/>
        </w:rPr>
        <w:t>, моніторингу та оцінки реформ, участі громадськості та її обізнаності.</w:t>
      </w:r>
    </w:p>
    <w:p w14:paraId="672A6659" w14:textId="08F85089" w:rsidR="00442CFD" w:rsidRPr="00E67070" w:rsidRDefault="0098886A" w:rsidP="584D7520">
      <w:pPr>
        <w:spacing w:after="120" w:line="240" w:lineRule="auto"/>
        <w:jc w:val="both"/>
        <w:rPr>
          <w:lang w:val="uk-UA"/>
        </w:rPr>
      </w:pPr>
      <w:proofErr w:type="spellStart"/>
      <w:r w:rsidRPr="584D7520">
        <w:rPr>
          <w:lang w:val="uk-UA"/>
        </w:rPr>
        <w:t>Проєктна</w:t>
      </w:r>
      <w:proofErr w:type="spellEnd"/>
      <w:r w:rsidRPr="584D7520">
        <w:rPr>
          <w:lang w:val="uk-UA"/>
        </w:rPr>
        <w:t xml:space="preserve"> діяльність має передбачати широке інформування громадськості про хід реалізації </w:t>
      </w:r>
      <w:proofErr w:type="spellStart"/>
      <w:r w:rsidRPr="584D7520">
        <w:rPr>
          <w:lang w:val="uk-UA"/>
        </w:rPr>
        <w:t>проєкту</w:t>
      </w:r>
      <w:proofErr w:type="spellEnd"/>
      <w:r w:rsidRPr="584D7520">
        <w:rPr>
          <w:lang w:val="uk-UA"/>
        </w:rPr>
        <w:t xml:space="preserve"> та його результати (у тому числі, через проведення підсумкової прес-конференції, поширення історій успіху).</w:t>
      </w:r>
    </w:p>
    <w:p w14:paraId="5BCB384D" w14:textId="77777777" w:rsidR="00B7430F" w:rsidRPr="00E67070" w:rsidRDefault="00B7430F" w:rsidP="00F537DB">
      <w:pPr>
        <w:pStyle w:val="Heading2"/>
        <w:rPr>
          <w:lang w:val="uk-UA"/>
        </w:rPr>
      </w:pPr>
      <w:r w:rsidRPr="00E67070">
        <w:rPr>
          <w:lang w:val="uk-UA"/>
        </w:rPr>
        <w:t>Прийнятність витрат</w:t>
      </w:r>
    </w:p>
    <w:p w14:paraId="599F9E57" w14:textId="77777777" w:rsidR="00B7430F" w:rsidRPr="00E67070" w:rsidRDefault="00841532" w:rsidP="00F537DB">
      <w:pPr>
        <w:jc w:val="both"/>
        <w:rPr>
          <w:lang w:val="uk-UA"/>
        </w:rPr>
      </w:pPr>
      <w:r w:rsidRPr="00E67070">
        <w:rPr>
          <w:lang w:val="uk-UA"/>
        </w:rPr>
        <w:t>При наданні гранту можуть братися до уваги в</w:t>
      </w:r>
      <w:r w:rsidR="00AE78EE" w:rsidRPr="00E67070">
        <w:rPr>
          <w:lang w:val="uk-UA"/>
        </w:rPr>
        <w:t>иключно “</w:t>
      </w:r>
      <w:r w:rsidRPr="00E67070">
        <w:rPr>
          <w:lang w:val="uk-UA"/>
        </w:rPr>
        <w:t>прийнятні витрати</w:t>
      </w:r>
      <w:r w:rsidR="00AE78EE" w:rsidRPr="00E67070">
        <w:rPr>
          <w:lang w:val="uk-UA"/>
        </w:rPr>
        <w:t>”</w:t>
      </w:r>
      <w:r w:rsidRPr="00E67070">
        <w:rPr>
          <w:lang w:val="uk-UA"/>
        </w:rPr>
        <w:t xml:space="preserve">. Всі витрати мають бути представлені в Бюджеті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 xml:space="preserve"> (</w:t>
      </w:r>
      <w:r w:rsidRPr="00E67070">
        <w:rPr>
          <w:b/>
          <w:lang w:val="uk-UA"/>
        </w:rPr>
        <w:t>Додаток В</w:t>
      </w:r>
      <w:r w:rsidRPr="00E67070">
        <w:rPr>
          <w:lang w:val="uk-UA"/>
        </w:rPr>
        <w:t>). Заявлений бюджет є як кошторисом витрат, так і максимальною межею «прийнятних витрат». Необхідно звернути увагу, що прийнятні витрати мають базуватися на реальних витратах, що підтверджені відповідними документами (не допускається фінансування недеталізованих витрат, представлених загальною сумою). Тому Заявник зацікавлений в представленні реального та економічно обґрунтованого бюджету.</w:t>
      </w:r>
    </w:p>
    <w:p w14:paraId="6576A086" w14:textId="77777777" w:rsidR="00B7430F" w:rsidRPr="00E67070" w:rsidRDefault="00B7430F" w:rsidP="00F537DB">
      <w:pPr>
        <w:jc w:val="both"/>
        <w:rPr>
          <w:u w:val="single"/>
          <w:lang w:val="uk-UA"/>
        </w:rPr>
      </w:pPr>
      <w:r w:rsidRPr="00E67070">
        <w:rPr>
          <w:u w:val="single"/>
          <w:lang w:val="uk-UA"/>
        </w:rPr>
        <w:t>Прийнятні витрати</w:t>
      </w:r>
    </w:p>
    <w:p w14:paraId="1FEFAD63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Прийнятні витрати - це витрати, що були фактично понесені </w:t>
      </w:r>
      <w:proofErr w:type="spellStart"/>
      <w:r w:rsidRPr="00E67070">
        <w:rPr>
          <w:lang w:val="uk-UA"/>
        </w:rPr>
        <w:t>грантоотримувачем</w:t>
      </w:r>
      <w:proofErr w:type="spellEnd"/>
      <w:r w:rsidRPr="00E67070">
        <w:rPr>
          <w:lang w:val="uk-UA"/>
        </w:rPr>
        <w:t>, які відповідають усім наступним критеріям:</w:t>
      </w:r>
    </w:p>
    <w:p w14:paraId="4A88C7E4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а) витрати, пов'язані з послугами та роботами, повинні стосуватися діяльності, що має місце протягом періоду імплементації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 xml:space="preserve">, </w:t>
      </w:r>
      <w:r w:rsidR="00841532" w:rsidRPr="00E67070">
        <w:rPr>
          <w:lang w:val="uk-UA"/>
        </w:rPr>
        <w:t>що визначений у Грантовій угоді;</w:t>
      </w:r>
      <w:r w:rsidRPr="00E67070">
        <w:rPr>
          <w:lang w:val="uk-UA"/>
        </w:rPr>
        <w:t xml:space="preserve"> </w:t>
      </w:r>
      <w:r w:rsidR="00841532" w:rsidRPr="00E67070">
        <w:rPr>
          <w:lang w:val="uk-UA"/>
        </w:rPr>
        <w:t>в</w:t>
      </w:r>
      <w:r w:rsidRPr="00E67070">
        <w:rPr>
          <w:lang w:val="uk-UA"/>
        </w:rPr>
        <w:t>итрати, пов'язані з постачанням матеріальних ресурсів, повинні стосуватися поставки та монтажу об’єктів</w:t>
      </w:r>
      <w:r w:rsidR="00841532" w:rsidRPr="00E67070">
        <w:rPr>
          <w:lang w:val="uk-UA"/>
        </w:rPr>
        <w:t xml:space="preserve"> протягом періоду імплементації;</w:t>
      </w:r>
      <w:r w:rsidRPr="00E67070">
        <w:rPr>
          <w:lang w:val="uk-UA"/>
        </w:rPr>
        <w:t xml:space="preserve"> </w:t>
      </w:r>
      <w:r w:rsidR="00841532" w:rsidRPr="00E67070">
        <w:rPr>
          <w:lang w:val="uk-UA"/>
        </w:rPr>
        <w:t>п</w:t>
      </w:r>
      <w:r w:rsidRPr="00E67070">
        <w:rPr>
          <w:lang w:val="uk-UA"/>
        </w:rPr>
        <w:t>ідписання контракту, розміщення замовлення, або взяття на себе будь-яких зобов'язань стосовно ви</w:t>
      </w:r>
      <w:r w:rsidR="00841532" w:rsidRPr="00E67070">
        <w:rPr>
          <w:lang w:val="uk-UA"/>
        </w:rPr>
        <w:t>трат</w:t>
      </w:r>
      <w:r w:rsidRPr="00E67070">
        <w:rPr>
          <w:lang w:val="uk-UA"/>
        </w:rPr>
        <w:t xml:space="preserve"> протягом періоду імплементації але з метою майбутнього надання послуг, проведення робіт або поставок після закінчення терміну імплементації, не відповідають цій </w:t>
      </w:r>
      <w:proofErr w:type="spellStart"/>
      <w:r w:rsidRPr="00E67070">
        <w:rPr>
          <w:lang w:val="uk-UA"/>
        </w:rPr>
        <w:t>вимозі</w:t>
      </w:r>
      <w:proofErr w:type="spellEnd"/>
      <w:r w:rsidRPr="00E67070">
        <w:rPr>
          <w:lang w:val="uk-UA"/>
        </w:rPr>
        <w:t>;</w:t>
      </w:r>
    </w:p>
    <w:p w14:paraId="70AF8081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б) витрати мають бути передбачені в запланованому загальному бюджеті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>;</w:t>
      </w:r>
    </w:p>
    <w:p w14:paraId="1FB13216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в) витрати мають бути необхідні для виконання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>, для якого надається грант;</w:t>
      </w:r>
    </w:p>
    <w:p w14:paraId="72DDCDED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г) витрати повинні бути можливі до ідентифікації та перевірки, передусім вони мають бути враховані в бухгалтерській документації </w:t>
      </w:r>
      <w:proofErr w:type="spellStart"/>
      <w:r w:rsidRPr="00E67070">
        <w:rPr>
          <w:lang w:val="uk-UA"/>
        </w:rPr>
        <w:t>грантоотримувача</w:t>
      </w:r>
      <w:proofErr w:type="spellEnd"/>
      <w:r w:rsidRPr="00E67070">
        <w:rPr>
          <w:lang w:val="uk-UA"/>
        </w:rPr>
        <w:t xml:space="preserve"> згідно</w:t>
      </w:r>
      <w:r w:rsidR="00930112" w:rsidRPr="00E67070">
        <w:rPr>
          <w:lang w:val="uk-UA"/>
        </w:rPr>
        <w:t xml:space="preserve"> зі стандартами</w:t>
      </w:r>
      <w:r w:rsidRPr="00E67070">
        <w:rPr>
          <w:lang w:val="uk-UA"/>
        </w:rPr>
        <w:t xml:space="preserve"> бухгалтерського обліку України, а також згідно зі стандартною практикою ведення бухгалтерського обліку </w:t>
      </w:r>
      <w:proofErr w:type="spellStart"/>
      <w:r w:rsidRPr="00E67070">
        <w:rPr>
          <w:lang w:val="uk-UA"/>
        </w:rPr>
        <w:t>грантоотримувача</w:t>
      </w:r>
      <w:proofErr w:type="spellEnd"/>
      <w:r w:rsidRPr="00E67070">
        <w:rPr>
          <w:lang w:val="uk-UA"/>
        </w:rPr>
        <w:t>;</w:t>
      </w:r>
    </w:p>
    <w:p w14:paraId="2981F0B4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ґ) витрати повинні задовольняти вимогам застосовного податкового і соціального законодавства;</w:t>
      </w:r>
    </w:p>
    <w:p w14:paraId="1911B846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д) витрати повинні бути доцільні, обґрунтовані і відповідати вимогам належного фінансового управління, передусім економності і ефективності.</w:t>
      </w:r>
    </w:p>
    <w:p w14:paraId="7EA6B0A8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Прийнятними є наступні витрати </w:t>
      </w:r>
      <w:proofErr w:type="spellStart"/>
      <w:r w:rsidRPr="00E67070">
        <w:rPr>
          <w:lang w:val="uk-UA"/>
        </w:rPr>
        <w:t>грантоотримувача</w:t>
      </w:r>
      <w:proofErr w:type="spellEnd"/>
      <w:r w:rsidRPr="00E67070">
        <w:rPr>
          <w:lang w:val="uk-UA"/>
        </w:rPr>
        <w:t>:</w:t>
      </w:r>
    </w:p>
    <w:p w14:paraId="3CAEB1D2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– витрати на персонал, задіяний у виконанні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 xml:space="preserve">, що відповідає реальним заробітним платам, в тому числі податки, збори, платежі на соціальне страхування та інші витрати, що пов'язані з оплатою праці; витрати на заробітну плату не можуть перевищувати заробітної плати і витрат, які зазвичай несе </w:t>
      </w:r>
      <w:proofErr w:type="spellStart"/>
      <w:r w:rsidRPr="00E67070">
        <w:rPr>
          <w:lang w:val="uk-UA"/>
        </w:rPr>
        <w:lastRenderedPageBreak/>
        <w:t>грантоотримувач</w:t>
      </w:r>
      <w:proofErr w:type="spellEnd"/>
      <w:r w:rsidRPr="00E67070">
        <w:rPr>
          <w:lang w:val="uk-UA"/>
        </w:rPr>
        <w:t xml:space="preserve">, крім випадків, коли це буде обґрунтовано і підтверджено, що вони необхідні для належного виконання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>;</w:t>
      </w:r>
    </w:p>
    <w:p w14:paraId="3F2BE89E" w14:textId="77777777" w:rsidR="00B7430F" w:rsidRPr="00E67070" w:rsidRDefault="00B7430F" w:rsidP="00F537DB">
      <w:pPr>
        <w:rPr>
          <w:lang w:val="uk-UA"/>
        </w:rPr>
      </w:pPr>
      <w:r w:rsidRPr="00E67070">
        <w:rPr>
          <w:lang w:val="uk-UA"/>
        </w:rPr>
        <w:t xml:space="preserve">– витрати на проїзд та відрядження персоналу, </w:t>
      </w:r>
      <w:r w:rsidR="004133EA" w:rsidRPr="00E67070">
        <w:rPr>
          <w:lang w:val="uk-UA"/>
        </w:rPr>
        <w:t>який</w:t>
      </w:r>
      <w:r w:rsidRPr="00E67070">
        <w:rPr>
          <w:lang w:val="uk-UA"/>
        </w:rPr>
        <w:t xml:space="preserve"> бере участь у виконанні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 xml:space="preserve">, за умови, що вони не перевищуватимуть витрат, які </w:t>
      </w:r>
      <w:r w:rsidR="004133EA" w:rsidRPr="00E67070">
        <w:rPr>
          <w:lang w:val="uk-UA"/>
        </w:rPr>
        <w:t xml:space="preserve">зазвичай несуть </w:t>
      </w:r>
      <w:proofErr w:type="spellStart"/>
      <w:r w:rsidR="004133EA" w:rsidRPr="00E67070">
        <w:rPr>
          <w:lang w:val="uk-UA"/>
        </w:rPr>
        <w:t>грантоотримувач</w:t>
      </w:r>
      <w:proofErr w:type="spellEnd"/>
      <w:r w:rsidR="004133EA" w:rsidRPr="00E67070">
        <w:rPr>
          <w:lang w:val="uk-UA"/>
        </w:rPr>
        <w:t>;</w:t>
      </w:r>
      <w:r w:rsidRPr="00E67070">
        <w:rPr>
          <w:lang w:val="uk-UA"/>
        </w:rPr>
        <w:t xml:space="preserve"> </w:t>
      </w:r>
      <w:r w:rsidR="004133EA" w:rsidRPr="00E67070">
        <w:rPr>
          <w:lang w:val="uk-UA"/>
        </w:rPr>
        <w:t>в</w:t>
      </w:r>
      <w:r w:rsidRPr="00E67070">
        <w:rPr>
          <w:lang w:val="uk-UA"/>
        </w:rPr>
        <w:t xml:space="preserve">сі витрати не можуть перевищувати ставок ЄС, що опубліковані на Інтернет-сторінці </w:t>
      </w:r>
      <w:hyperlink r:id="rId10" w:history="1">
        <w:r w:rsidRPr="00E67070">
          <w:rPr>
            <w:rStyle w:val="Hyperlink"/>
            <w:lang w:val="uk-UA"/>
          </w:rPr>
          <w:t>http://ec.europa.eu/europeaid/work/procedures/implementation/per_diems/index_en.htm</w:t>
        </w:r>
      </w:hyperlink>
    </w:p>
    <w:p w14:paraId="5B2D8EA3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 xml:space="preserve">– витрати на закупівлю або оренду обладнання і матеріалів (нового або такого, що було у користуванні) безпосередньо для потреб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lang w:val="uk-UA"/>
        </w:rPr>
        <w:t xml:space="preserve">, за умови, що право власності на них передається після завершення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у</w:t>
      </w:r>
      <w:proofErr w:type="spellEnd"/>
      <w:r w:rsidRPr="00E67070">
        <w:rPr>
          <w:rStyle w:val="FootnoteReference"/>
          <w:lang w:val="uk-UA"/>
        </w:rPr>
        <w:footnoteReference w:id="2"/>
      </w:r>
      <w:r w:rsidR="004133EA" w:rsidRPr="00E67070">
        <w:rPr>
          <w:lang w:val="uk-UA"/>
        </w:rPr>
        <w:t>;</w:t>
      </w:r>
    </w:p>
    <w:p w14:paraId="036A7AD7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– офісні витрати, які можуть включати часткову оренду офісу, комунальні послуги, канцтовари і витратні матеріали, послуги зв’язку та інтернету, поштові витрати;</w:t>
      </w:r>
    </w:p>
    <w:p w14:paraId="54EFFE5D" w14:textId="56043822" w:rsidR="003F7E1C" w:rsidRPr="00E67070" w:rsidRDefault="004133EA" w:rsidP="00F537DB">
      <w:pPr>
        <w:jc w:val="both"/>
        <w:rPr>
          <w:lang w:val="uk-UA"/>
        </w:rPr>
      </w:pPr>
      <w:r w:rsidRPr="584D7520">
        <w:rPr>
          <w:lang w:val="uk-UA"/>
        </w:rPr>
        <w:t xml:space="preserve">– інші витрати і послуги, </w:t>
      </w:r>
      <w:r w:rsidR="00B7430F" w:rsidRPr="584D7520">
        <w:rPr>
          <w:lang w:val="uk-UA"/>
        </w:rPr>
        <w:t xml:space="preserve">необхідні для ефективного виконання виключно </w:t>
      </w:r>
      <w:proofErr w:type="spellStart"/>
      <w:r w:rsidR="007E03FC" w:rsidRPr="584D7520">
        <w:rPr>
          <w:lang w:val="uk-UA"/>
        </w:rPr>
        <w:t>Проєкт</w:t>
      </w:r>
      <w:r w:rsidR="00B7430F" w:rsidRPr="584D7520">
        <w:rPr>
          <w:lang w:val="uk-UA"/>
        </w:rPr>
        <w:t>у</w:t>
      </w:r>
      <w:proofErr w:type="spellEnd"/>
      <w:r w:rsidR="00B7430F" w:rsidRPr="584D7520">
        <w:rPr>
          <w:lang w:val="uk-UA"/>
        </w:rPr>
        <w:t xml:space="preserve">, які можуть включати послуги залучених експертів, поліграфічні послуги, витрати на </w:t>
      </w:r>
      <w:r w:rsidRPr="584D7520">
        <w:rPr>
          <w:lang w:val="uk-UA"/>
        </w:rPr>
        <w:t xml:space="preserve">публічні </w:t>
      </w:r>
      <w:r w:rsidR="00AA243D" w:rsidRPr="584D7520">
        <w:rPr>
          <w:lang w:val="uk-UA"/>
        </w:rPr>
        <w:t>заходи, банківські послуги</w:t>
      </w:r>
      <w:r w:rsidR="4B866841" w:rsidRPr="584D7520">
        <w:rPr>
          <w:lang w:val="uk-UA"/>
        </w:rPr>
        <w:t>;</w:t>
      </w:r>
    </w:p>
    <w:p w14:paraId="2E20F490" w14:textId="6795CE07" w:rsidR="4B866841" w:rsidRDefault="4B866841" w:rsidP="584D7520">
      <w:pPr>
        <w:jc w:val="both"/>
        <w:rPr>
          <w:lang w:val="uk-UA"/>
        </w:rPr>
      </w:pPr>
      <w:r w:rsidRPr="584D7520">
        <w:rPr>
          <w:lang w:val="uk-UA"/>
        </w:rPr>
        <w:t xml:space="preserve">- До 15% витрат бюджету </w:t>
      </w:r>
      <w:proofErr w:type="spellStart"/>
      <w:r w:rsidRPr="584D7520">
        <w:rPr>
          <w:lang w:val="uk-UA"/>
        </w:rPr>
        <w:t>проєкту</w:t>
      </w:r>
      <w:proofErr w:type="spellEnd"/>
      <w:r w:rsidRPr="584D7520">
        <w:rPr>
          <w:lang w:val="uk-UA"/>
        </w:rPr>
        <w:t xml:space="preserve"> можуть бути передбачені на власний розвиток спроможності організації, посилення комунікаційних навичок, навчання, рецензування, моніторинг та оцінку, </w:t>
      </w:r>
      <w:proofErr w:type="spellStart"/>
      <w:r w:rsidRPr="584D7520">
        <w:rPr>
          <w:lang w:val="uk-UA"/>
        </w:rPr>
        <w:t>мережування</w:t>
      </w:r>
      <w:proofErr w:type="spellEnd"/>
      <w:r w:rsidRPr="584D7520">
        <w:rPr>
          <w:lang w:val="uk-UA"/>
        </w:rPr>
        <w:t xml:space="preserve"> з партнерами, придбання ліцензійного програмного забезпечення, безпеку персоналу тощо.</w:t>
      </w:r>
    </w:p>
    <w:p w14:paraId="23A7563C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b/>
          <w:lang w:val="uk-UA"/>
        </w:rPr>
        <w:t>Неприйнятні витрати</w:t>
      </w:r>
    </w:p>
    <w:p w14:paraId="3B817BA1" w14:textId="77777777" w:rsidR="00B7430F" w:rsidRPr="00E67070" w:rsidRDefault="00B7430F" w:rsidP="00F537DB">
      <w:pPr>
        <w:jc w:val="both"/>
        <w:rPr>
          <w:lang w:val="uk-UA"/>
        </w:rPr>
      </w:pPr>
      <w:r w:rsidRPr="00E67070">
        <w:rPr>
          <w:lang w:val="uk-UA"/>
        </w:rPr>
        <w:t>Наступні витрати є неприйнятними:</w:t>
      </w:r>
    </w:p>
    <w:p w14:paraId="03E5E9E7" w14:textId="77777777" w:rsidR="002C3334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</w:t>
      </w:r>
      <w:r w:rsidR="002C3334" w:rsidRPr="00E67070">
        <w:rPr>
          <w:lang w:val="uk-UA"/>
        </w:rPr>
        <w:t xml:space="preserve"> витрати на діяльність, яка виходить за рамки затверджених завдань і цілей </w:t>
      </w:r>
      <w:proofErr w:type="spellStart"/>
      <w:r w:rsidR="002C3334" w:rsidRPr="00E67070">
        <w:rPr>
          <w:lang w:val="uk-UA"/>
        </w:rPr>
        <w:t>проєкту</w:t>
      </w:r>
      <w:proofErr w:type="spellEnd"/>
      <w:r w:rsidR="002C3334" w:rsidRPr="00E67070">
        <w:rPr>
          <w:lang w:val="uk-UA"/>
        </w:rPr>
        <w:t xml:space="preserve"> або бюджету гранту (наприклад, витрати на персонал, не задіяний у </w:t>
      </w:r>
      <w:proofErr w:type="spellStart"/>
      <w:r w:rsidR="002C3334" w:rsidRPr="00E67070">
        <w:rPr>
          <w:lang w:val="uk-UA"/>
        </w:rPr>
        <w:t>проєкті</w:t>
      </w:r>
      <w:proofErr w:type="spellEnd"/>
      <w:r w:rsidR="002C3334" w:rsidRPr="00E67070">
        <w:rPr>
          <w:lang w:val="uk-UA"/>
        </w:rPr>
        <w:t>);</w:t>
      </w:r>
    </w:p>
    <w:p w14:paraId="6C39590A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підготовчі витрати, тобто витрати, понесені до підписання Грантової угоди, витрати на підготовку заявки на фінансування;</w:t>
      </w:r>
    </w:p>
    <w:p w14:paraId="40F9FF55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представницькі витрати, витрати на розваги; витрати на соціальну діяльність; витрати на проведення церемоній і витрати, що відносяться до них, включаючи харчування, проживання, транспортні витрати, оренда, і подарунки;</w:t>
      </w:r>
    </w:p>
    <w:p w14:paraId="1907BBEC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- внески і пожертви фізичним і юридичним особам;</w:t>
      </w:r>
    </w:p>
    <w:p w14:paraId="100E7C09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- подарунки, премії на основі ефективності виконання </w:t>
      </w:r>
      <w:proofErr w:type="spellStart"/>
      <w:r w:rsidRPr="00E67070">
        <w:rPr>
          <w:lang w:val="uk-UA"/>
        </w:rPr>
        <w:t>проєкту</w:t>
      </w:r>
      <w:proofErr w:type="spellEnd"/>
      <w:r w:rsidRPr="00E67070">
        <w:rPr>
          <w:lang w:val="uk-UA"/>
        </w:rPr>
        <w:t>, що включаються до витрат на персонал, чайові, штрафи, придбання алкогольних і тютюнових виробів;</w:t>
      </w:r>
    </w:p>
    <w:p w14:paraId="644A1A0C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- витрати на кампанії по </w:t>
      </w:r>
      <w:proofErr w:type="spellStart"/>
      <w:r w:rsidRPr="00E67070">
        <w:rPr>
          <w:lang w:val="uk-UA"/>
        </w:rPr>
        <w:t>фандрейзингу</w:t>
      </w:r>
      <w:proofErr w:type="spellEnd"/>
      <w:r w:rsidRPr="00E67070">
        <w:rPr>
          <w:lang w:val="uk-UA"/>
        </w:rPr>
        <w:t xml:space="preserve">, включаючи витрати на проведення </w:t>
      </w:r>
      <w:proofErr w:type="spellStart"/>
      <w:r w:rsidRPr="00E67070">
        <w:rPr>
          <w:lang w:val="uk-UA"/>
        </w:rPr>
        <w:t>фандрейзингових</w:t>
      </w:r>
      <w:proofErr w:type="spellEnd"/>
      <w:r w:rsidRPr="00E67070">
        <w:rPr>
          <w:lang w:val="uk-UA"/>
        </w:rPr>
        <w:t xml:space="preserve"> кампаній і кампаній по залученню коштів;</w:t>
      </w:r>
    </w:p>
    <w:p w14:paraId="184E06CE" w14:textId="77777777" w:rsidR="00B7430F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- </w:t>
      </w:r>
      <w:r w:rsidR="00B7430F" w:rsidRPr="00E67070">
        <w:rPr>
          <w:lang w:val="uk-UA"/>
        </w:rPr>
        <w:t xml:space="preserve">надання грантів на інші </w:t>
      </w:r>
      <w:proofErr w:type="spellStart"/>
      <w:r w:rsidR="007E03FC" w:rsidRPr="00E67070">
        <w:rPr>
          <w:lang w:val="uk-UA"/>
        </w:rPr>
        <w:t>проєкт</w:t>
      </w:r>
      <w:r w:rsidR="00B7430F" w:rsidRPr="00E67070">
        <w:rPr>
          <w:lang w:val="uk-UA"/>
        </w:rPr>
        <w:t>и</w:t>
      </w:r>
      <w:proofErr w:type="spellEnd"/>
      <w:r w:rsidRPr="00E67070">
        <w:rPr>
          <w:lang w:val="uk-UA"/>
        </w:rPr>
        <w:t xml:space="preserve"> (</w:t>
      </w:r>
      <w:proofErr w:type="spellStart"/>
      <w:r w:rsidRPr="00E67070">
        <w:rPr>
          <w:lang w:val="uk-UA"/>
        </w:rPr>
        <w:t>субгрантинг</w:t>
      </w:r>
      <w:proofErr w:type="spellEnd"/>
      <w:r w:rsidRPr="00E67070">
        <w:rPr>
          <w:lang w:val="uk-UA"/>
        </w:rPr>
        <w:t>/</w:t>
      </w:r>
      <w:proofErr w:type="spellStart"/>
      <w:r w:rsidRPr="00E67070">
        <w:rPr>
          <w:lang w:val="uk-UA"/>
        </w:rPr>
        <w:t>регрантинг</w:t>
      </w:r>
      <w:proofErr w:type="spellEnd"/>
      <w:r w:rsidRPr="00E67070">
        <w:rPr>
          <w:lang w:val="uk-UA"/>
        </w:rPr>
        <w:t xml:space="preserve"> - передача частини грошей на рахунок партнерської організації згідно з кошторисом)</w:t>
      </w:r>
      <w:r w:rsidR="00B7430F" w:rsidRPr="00E67070">
        <w:rPr>
          <w:lang w:val="uk-UA"/>
        </w:rPr>
        <w:t>;</w:t>
      </w:r>
    </w:p>
    <w:p w14:paraId="279E90E2" w14:textId="77777777" w:rsidR="00B7430F" w:rsidRPr="00E67070" w:rsidRDefault="008B5815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борги та виплати, </w:t>
      </w:r>
      <w:r w:rsidR="00B7430F" w:rsidRPr="00E67070">
        <w:rPr>
          <w:lang w:val="uk-UA"/>
        </w:rPr>
        <w:t>пов’язані зі збитками чи боргами (відсотки);</w:t>
      </w:r>
    </w:p>
    <w:p w14:paraId="1D9B314B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резерв на покриття можливих втрат або майбутньої заборгованості;</w:t>
      </w:r>
    </w:p>
    <w:p w14:paraId="7E92F070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витрати, заявлені </w:t>
      </w:r>
      <w:proofErr w:type="spellStart"/>
      <w:r w:rsidRPr="00E67070">
        <w:rPr>
          <w:lang w:val="uk-UA"/>
        </w:rPr>
        <w:t>грантооотримувачами</w:t>
      </w:r>
      <w:proofErr w:type="spellEnd"/>
      <w:r w:rsidRPr="00E67070">
        <w:rPr>
          <w:lang w:val="uk-UA"/>
        </w:rPr>
        <w:t xml:space="preserve"> і профінансовані іншим </w:t>
      </w:r>
      <w:proofErr w:type="spellStart"/>
      <w:r w:rsidR="007E03FC" w:rsidRPr="00E67070">
        <w:rPr>
          <w:lang w:val="uk-UA"/>
        </w:rPr>
        <w:t>проєкт</w:t>
      </w:r>
      <w:r w:rsidRPr="00E67070">
        <w:rPr>
          <w:lang w:val="uk-UA"/>
        </w:rPr>
        <w:t>ом</w:t>
      </w:r>
      <w:proofErr w:type="spellEnd"/>
      <w:r w:rsidRPr="00E67070">
        <w:rPr>
          <w:lang w:val="uk-UA"/>
        </w:rPr>
        <w:t xml:space="preserve"> або програмою, які отримують грант Європейського Союзу (в тому числі через Європейський </w:t>
      </w:r>
      <w:r w:rsidR="008B5815" w:rsidRPr="00E67070">
        <w:rPr>
          <w:lang w:val="uk-UA"/>
        </w:rPr>
        <w:t>ф</w:t>
      </w:r>
      <w:r w:rsidRPr="00E67070">
        <w:rPr>
          <w:lang w:val="uk-UA"/>
        </w:rPr>
        <w:t xml:space="preserve">онд </w:t>
      </w:r>
      <w:r w:rsidR="008B5815" w:rsidRPr="00E67070">
        <w:rPr>
          <w:lang w:val="uk-UA"/>
        </w:rPr>
        <w:t>р</w:t>
      </w:r>
      <w:r w:rsidRPr="00E67070">
        <w:rPr>
          <w:lang w:val="uk-UA"/>
        </w:rPr>
        <w:t>озвитку);</w:t>
      </w:r>
    </w:p>
    <w:p w14:paraId="6AAD29FA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</w:t>
      </w:r>
      <w:r w:rsidR="002C3334" w:rsidRPr="00E67070">
        <w:rPr>
          <w:lang w:val="uk-UA"/>
        </w:rPr>
        <w:t>придбання нерухомої власності (земля, будівлі)</w:t>
      </w:r>
      <w:r w:rsidRPr="00E67070">
        <w:rPr>
          <w:lang w:val="uk-UA"/>
        </w:rPr>
        <w:t>;</w:t>
      </w:r>
    </w:p>
    <w:p w14:paraId="1FE6A9E8" w14:textId="77777777" w:rsidR="002C3334" w:rsidRPr="00E67070" w:rsidRDefault="002C3334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lastRenderedPageBreak/>
        <w:t>- амортизаційні витрати або витрати на плату за використання обладнання або приміщення, придбаних на кошти цього або попередніх грантів ІЕД;</w:t>
      </w:r>
    </w:p>
    <w:p w14:paraId="13E0AB4B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вклад у натуральній формі</w:t>
      </w:r>
      <w:r w:rsidR="007E03FC" w:rsidRPr="00E67070">
        <w:rPr>
          <w:lang w:val="uk-UA"/>
        </w:rPr>
        <w:t xml:space="preserve"> (крім роботи (послуг) волонтерів)</w:t>
      </w:r>
      <w:r w:rsidRPr="00E67070">
        <w:rPr>
          <w:lang w:val="uk-UA"/>
        </w:rPr>
        <w:t>;</w:t>
      </w:r>
    </w:p>
    <w:p w14:paraId="19DF9E04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податок на прибуток;</w:t>
      </w:r>
    </w:p>
    <w:p w14:paraId="64302510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кредити і позики на користь третіх осіб;</w:t>
      </w:r>
    </w:p>
    <w:p w14:paraId="14B8F28B" w14:textId="77777777" w:rsidR="00B7430F" w:rsidRPr="00E67070" w:rsidRDefault="00B7430F" w:rsidP="00F537DB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>– штрафи, пені;</w:t>
      </w:r>
    </w:p>
    <w:p w14:paraId="76F83DD1" w14:textId="77777777" w:rsidR="007E03FC" w:rsidRPr="00E67070" w:rsidRDefault="00B7430F" w:rsidP="007E03FC">
      <w:pPr>
        <w:spacing w:after="120" w:line="240" w:lineRule="auto"/>
        <w:jc w:val="both"/>
        <w:rPr>
          <w:lang w:val="uk-UA"/>
        </w:rPr>
      </w:pPr>
      <w:r w:rsidRPr="00E67070">
        <w:rPr>
          <w:lang w:val="uk-UA"/>
        </w:rPr>
        <w:t xml:space="preserve">– витрати на заробітну плату </w:t>
      </w:r>
      <w:r w:rsidR="0067768E" w:rsidRPr="00E67070">
        <w:rPr>
          <w:lang w:val="uk-UA"/>
        </w:rPr>
        <w:t>співробітник</w:t>
      </w:r>
      <w:r w:rsidR="002C3334" w:rsidRPr="00E67070">
        <w:rPr>
          <w:lang w:val="uk-UA"/>
        </w:rPr>
        <w:t>ів органів влади України</w:t>
      </w:r>
      <w:r w:rsidR="007E03FC" w:rsidRPr="00E67070">
        <w:rPr>
          <w:lang w:val="uk-UA"/>
        </w:rPr>
        <w:t>.</w:t>
      </w:r>
    </w:p>
    <w:sectPr w:rsidR="007E03FC" w:rsidRPr="00E67070" w:rsidSect="002B770C">
      <w:footerReference w:type="even" r:id="rId11"/>
      <w:footerReference w:type="default" r:id="rId12"/>
      <w:pgSz w:w="11907" w:h="16840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BAFA" w14:textId="77777777" w:rsidR="00BB547F" w:rsidRDefault="00BB547F" w:rsidP="008000ED">
      <w:pPr>
        <w:spacing w:after="0" w:line="240" w:lineRule="auto"/>
      </w:pPr>
      <w:r>
        <w:separator/>
      </w:r>
    </w:p>
  </w:endnote>
  <w:endnote w:type="continuationSeparator" w:id="0">
    <w:p w14:paraId="1CEC0B3A" w14:textId="77777777" w:rsidR="00BB547F" w:rsidRDefault="00BB547F" w:rsidP="008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67070" w:rsidRDefault="00E67070" w:rsidP="00D27B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5A809" w14:textId="77777777" w:rsidR="00E67070" w:rsidRDefault="00E67070" w:rsidP="002B77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1D887AC7" w:rsidR="00E67070" w:rsidRPr="002B770C" w:rsidRDefault="00E67070" w:rsidP="002B770C">
    <w:pPr>
      <w:pStyle w:val="Footer"/>
      <w:framePr w:wrap="around" w:vAnchor="text" w:hAnchor="margin" w:xAlign="right" w:y="1"/>
      <w:spacing w:after="0" w:line="240" w:lineRule="auto"/>
      <w:rPr>
        <w:rStyle w:val="PageNumber"/>
        <w:sz w:val="20"/>
        <w:szCs w:val="20"/>
      </w:rPr>
    </w:pPr>
    <w:r w:rsidRPr="002B770C">
      <w:rPr>
        <w:rStyle w:val="PageNumber"/>
        <w:sz w:val="20"/>
        <w:szCs w:val="20"/>
      </w:rPr>
      <w:fldChar w:fldCharType="begin"/>
    </w:r>
    <w:r w:rsidRPr="002B770C">
      <w:rPr>
        <w:rStyle w:val="PageNumber"/>
        <w:sz w:val="20"/>
        <w:szCs w:val="20"/>
      </w:rPr>
      <w:instrText xml:space="preserve">PAGE  </w:instrText>
    </w:r>
    <w:r w:rsidRPr="002B770C">
      <w:rPr>
        <w:rStyle w:val="PageNumber"/>
        <w:sz w:val="20"/>
        <w:szCs w:val="20"/>
      </w:rPr>
      <w:fldChar w:fldCharType="separate"/>
    </w:r>
    <w:r w:rsidR="00CC26F2">
      <w:rPr>
        <w:rStyle w:val="PageNumber"/>
        <w:noProof/>
        <w:sz w:val="20"/>
        <w:szCs w:val="20"/>
      </w:rPr>
      <w:t>1</w:t>
    </w:r>
    <w:r w:rsidRPr="002B770C">
      <w:rPr>
        <w:rStyle w:val="PageNumber"/>
        <w:sz w:val="20"/>
        <w:szCs w:val="20"/>
      </w:rPr>
      <w:fldChar w:fldCharType="end"/>
    </w:r>
  </w:p>
  <w:p w14:paraId="02EB378F" w14:textId="77777777" w:rsidR="00E67070" w:rsidRPr="002B770C" w:rsidRDefault="00E67070" w:rsidP="002B770C">
    <w:pPr>
      <w:pStyle w:val="Footer"/>
      <w:spacing w:after="0" w:line="240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4785" w14:textId="77777777" w:rsidR="00BB547F" w:rsidRDefault="00BB547F" w:rsidP="008000ED">
      <w:pPr>
        <w:spacing w:after="0" w:line="240" w:lineRule="auto"/>
      </w:pPr>
      <w:r>
        <w:separator/>
      </w:r>
    </w:p>
  </w:footnote>
  <w:footnote w:type="continuationSeparator" w:id="0">
    <w:p w14:paraId="26377777" w14:textId="77777777" w:rsidR="00BB547F" w:rsidRDefault="00BB547F" w:rsidP="008000ED">
      <w:pPr>
        <w:spacing w:after="0" w:line="240" w:lineRule="auto"/>
      </w:pPr>
      <w:r>
        <w:continuationSeparator/>
      </w:r>
    </w:p>
  </w:footnote>
  <w:footnote w:id="1">
    <w:p w14:paraId="027DEAA3" w14:textId="77777777" w:rsidR="00E67070" w:rsidRPr="004F208B" w:rsidRDefault="00E67070" w:rsidP="008000ED">
      <w:pPr>
        <w:pStyle w:val="FootnoteText"/>
        <w:rPr>
          <w:lang w:val="uk-UA"/>
        </w:rPr>
      </w:pPr>
      <w:r w:rsidRPr="004F208B">
        <w:rPr>
          <w:rStyle w:val="FootnoteReference"/>
          <w:lang w:val="uk-UA"/>
        </w:rPr>
        <w:footnoteRef/>
      </w:r>
      <w:r w:rsidRPr="004F208B">
        <w:rPr>
          <w:lang w:val="uk-UA"/>
        </w:rPr>
        <w:t xml:space="preserve"> </w:t>
      </w:r>
      <w:hyperlink r:id="rId1" w:history="1">
        <w:r w:rsidRPr="004F208B">
          <w:rPr>
            <w:rStyle w:val="Hyperlink"/>
            <w:lang w:val="uk-UA"/>
          </w:rPr>
          <w:t>http://ec.europa.eu/europeaid/prag/document.do?nodeNumber=2.3.4</w:t>
        </w:r>
      </w:hyperlink>
      <w:r w:rsidRPr="004F208B">
        <w:rPr>
          <w:lang w:val="uk-UA"/>
        </w:rPr>
        <w:t xml:space="preserve"> </w:t>
      </w:r>
    </w:p>
  </w:footnote>
  <w:footnote w:id="2">
    <w:p w14:paraId="7CD365C0" w14:textId="77777777" w:rsidR="00E67070" w:rsidRPr="004F208B" w:rsidRDefault="00E67070" w:rsidP="00F537DB">
      <w:pPr>
        <w:pStyle w:val="FootnoteText"/>
        <w:jc w:val="both"/>
        <w:rPr>
          <w:lang w:val="uk-UA"/>
        </w:rPr>
      </w:pPr>
      <w:r w:rsidRPr="004F208B">
        <w:rPr>
          <w:rStyle w:val="FootnoteReference"/>
          <w:lang w:val="uk-UA"/>
        </w:rPr>
        <w:footnoteRef/>
      </w:r>
      <w:r w:rsidRPr="004F208B">
        <w:rPr>
          <w:lang w:val="uk-UA"/>
        </w:rPr>
        <w:t xml:space="preserve"> </w:t>
      </w:r>
      <w:r w:rsidRPr="004F208B">
        <w:rPr>
          <w:lang w:val="uk-UA"/>
        </w:rPr>
        <w:t xml:space="preserve">Обладнання та матеріальні ресурси, </w:t>
      </w:r>
      <w:r>
        <w:rPr>
          <w:lang w:val="uk-UA"/>
        </w:rPr>
        <w:t>придба</w:t>
      </w:r>
      <w:r w:rsidRPr="004F208B">
        <w:rPr>
          <w:lang w:val="uk-UA"/>
        </w:rPr>
        <w:t xml:space="preserve">ні за рахунок бюджету </w:t>
      </w:r>
      <w:proofErr w:type="spellStart"/>
      <w:r>
        <w:rPr>
          <w:lang w:val="uk-UA"/>
        </w:rPr>
        <w:t>Проєкт</w:t>
      </w:r>
      <w:r w:rsidRPr="004F208B">
        <w:rPr>
          <w:lang w:val="uk-UA"/>
        </w:rPr>
        <w:t>у</w:t>
      </w:r>
      <w:proofErr w:type="spellEnd"/>
      <w:r w:rsidRPr="004F208B">
        <w:rPr>
          <w:lang w:val="uk-UA"/>
        </w:rPr>
        <w:t xml:space="preserve">, повинні бути передані кінцевим </w:t>
      </w:r>
      <w:proofErr w:type="spellStart"/>
      <w:r w:rsidRPr="004F208B">
        <w:rPr>
          <w:lang w:val="uk-UA"/>
        </w:rPr>
        <w:t>вигодоотримувачам</w:t>
      </w:r>
      <w:proofErr w:type="spellEnd"/>
      <w:r w:rsidRPr="004F208B">
        <w:rPr>
          <w:lang w:val="uk-UA"/>
        </w:rPr>
        <w:t xml:space="preserve"> </w:t>
      </w:r>
      <w:proofErr w:type="spellStart"/>
      <w:r>
        <w:rPr>
          <w:lang w:val="uk-UA"/>
        </w:rPr>
        <w:t>Проєкт</w:t>
      </w:r>
      <w:r w:rsidRPr="004F208B">
        <w:rPr>
          <w:lang w:val="uk-UA"/>
        </w:rPr>
        <w:t>у</w:t>
      </w:r>
      <w:proofErr w:type="spellEnd"/>
      <w:r w:rsidRPr="004F208B">
        <w:rPr>
          <w:lang w:val="uk-UA"/>
        </w:rPr>
        <w:t xml:space="preserve">, не пізніше ніж в момент подання остаточного звіту. Кінцеве використання такого майна не повинно в жодному разі ставити під загрозу сталість </w:t>
      </w:r>
      <w:proofErr w:type="spellStart"/>
      <w:r>
        <w:rPr>
          <w:lang w:val="uk-UA"/>
        </w:rPr>
        <w:t>Проєкт</w:t>
      </w:r>
      <w:r w:rsidRPr="004F208B">
        <w:rPr>
          <w:lang w:val="uk-UA"/>
        </w:rPr>
        <w:t>у</w:t>
      </w:r>
      <w:proofErr w:type="spellEnd"/>
      <w:r w:rsidRPr="004F208B">
        <w:rPr>
          <w:lang w:val="uk-UA"/>
        </w:rPr>
        <w:t xml:space="preserve"> або привести в результаті до отримання прибутку </w:t>
      </w:r>
      <w:proofErr w:type="spellStart"/>
      <w:r w:rsidRPr="004F208B">
        <w:rPr>
          <w:lang w:val="uk-UA"/>
        </w:rPr>
        <w:t>грантоотримувачем</w:t>
      </w:r>
      <w:proofErr w:type="spellEnd"/>
      <w:r w:rsidRPr="004F208B">
        <w:rPr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1DB"/>
    <w:multiLevelType w:val="hybridMultilevel"/>
    <w:tmpl w:val="2258CD30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6D1"/>
    <w:multiLevelType w:val="hybridMultilevel"/>
    <w:tmpl w:val="1A8A74EE"/>
    <w:lvl w:ilvl="0" w:tplc="44E0D044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 w:tplc="53649704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 w:tplc="23E806AE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 w:tplc="ABC40240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 w:tplc="9300DDF6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 w:tplc="AE8821C6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 w:tplc="21369A64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 w:tplc="742674F2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 w:tplc="EFFEA084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0FBE3084"/>
    <w:multiLevelType w:val="hybridMultilevel"/>
    <w:tmpl w:val="0EF059C6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125"/>
    <w:multiLevelType w:val="hybridMultilevel"/>
    <w:tmpl w:val="41C812BA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C3A5E"/>
    <w:multiLevelType w:val="hybridMultilevel"/>
    <w:tmpl w:val="D84C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FFD"/>
    <w:multiLevelType w:val="hybridMultilevel"/>
    <w:tmpl w:val="539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F70"/>
    <w:multiLevelType w:val="hybridMultilevel"/>
    <w:tmpl w:val="77C09198"/>
    <w:lvl w:ilvl="0" w:tplc="9AFC258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6EEC"/>
    <w:multiLevelType w:val="hybridMultilevel"/>
    <w:tmpl w:val="9A8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7418F4"/>
    <w:multiLevelType w:val="hybridMultilevel"/>
    <w:tmpl w:val="1112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6B4556"/>
    <w:multiLevelType w:val="hybridMultilevel"/>
    <w:tmpl w:val="7B5E2C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AC812AB"/>
    <w:multiLevelType w:val="hybridMultilevel"/>
    <w:tmpl w:val="CA60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281E"/>
    <w:multiLevelType w:val="hybridMultilevel"/>
    <w:tmpl w:val="813C42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D"/>
    <w:rsid w:val="000152CC"/>
    <w:rsid w:val="00027077"/>
    <w:rsid w:val="00034D9D"/>
    <w:rsid w:val="000C2A8E"/>
    <w:rsid w:val="000E2099"/>
    <w:rsid w:val="000E4DD5"/>
    <w:rsid w:val="00114821"/>
    <w:rsid w:val="001261FB"/>
    <w:rsid w:val="00137AE3"/>
    <w:rsid w:val="00152E6C"/>
    <w:rsid w:val="00180A2D"/>
    <w:rsid w:val="001B2995"/>
    <w:rsid w:val="001C63BD"/>
    <w:rsid w:val="001E0067"/>
    <w:rsid w:val="00216F82"/>
    <w:rsid w:val="002671DE"/>
    <w:rsid w:val="00284AB4"/>
    <w:rsid w:val="00290A04"/>
    <w:rsid w:val="002A2938"/>
    <w:rsid w:val="002B5E1E"/>
    <w:rsid w:val="002B770C"/>
    <w:rsid w:val="002B7DD9"/>
    <w:rsid w:val="002C3334"/>
    <w:rsid w:val="002C6B47"/>
    <w:rsid w:val="00307076"/>
    <w:rsid w:val="00333699"/>
    <w:rsid w:val="00352825"/>
    <w:rsid w:val="003615A3"/>
    <w:rsid w:val="00390C00"/>
    <w:rsid w:val="0039440F"/>
    <w:rsid w:val="003A1B9A"/>
    <w:rsid w:val="003E119A"/>
    <w:rsid w:val="003F7E1C"/>
    <w:rsid w:val="004133EA"/>
    <w:rsid w:val="004217C0"/>
    <w:rsid w:val="004279D7"/>
    <w:rsid w:val="00437313"/>
    <w:rsid w:val="00442CFD"/>
    <w:rsid w:val="00446A3D"/>
    <w:rsid w:val="00484C8C"/>
    <w:rsid w:val="004936F9"/>
    <w:rsid w:val="004A5889"/>
    <w:rsid w:val="004F208B"/>
    <w:rsid w:val="005020EE"/>
    <w:rsid w:val="00513583"/>
    <w:rsid w:val="0064402A"/>
    <w:rsid w:val="0067768E"/>
    <w:rsid w:val="006D1DEC"/>
    <w:rsid w:val="00783D26"/>
    <w:rsid w:val="00786FAC"/>
    <w:rsid w:val="007D4D19"/>
    <w:rsid w:val="007E03FC"/>
    <w:rsid w:val="007E0FC3"/>
    <w:rsid w:val="007F5B6A"/>
    <w:rsid w:val="008000ED"/>
    <w:rsid w:val="00823B08"/>
    <w:rsid w:val="00841532"/>
    <w:rsid w:val="00842587"/>
    <w:rsid w:val="0084344F"/>
    <w:rsid w:val="00855807"/>
    <w:rsid w:val="00880CC4"/>
    <w:rsid w:val="008A1C79"/>
    <w:rsid w:val="008B5815"/>
    <w:rsid w:val="008C068F"/>
    <w:rsid w:val="00930112"/>
    <w:rsid w:val="00935655"/>
    <w:rsid w:val="00943466"/>
    <w:rsid w:val="00966FD7"/>
    <w:rsid w:val="0097302C"/>
    <w:rsid w:val="0098886A"/>
    <w:rsid w:val="009C4744"/>
    <w:rsid w:val="009E72E2"/>
    <w:rsid w:val="00A37912"/>
    <w:rsid w:val="00A4219A"/>
    <w:rsid w:val="00AA243D"/>
    <w:rsid w:val="00AA7A75"/>
    <w:rsid w:val="00AE78EE"/>
    <w:rsid w:val="00AF1508"/>
    <w:rsid w:val="00B266C9"/>
    <w:rsid w:val="00B50627"/>
    <w:rsid w:val="00B7430F"/>
    <w:rsid w:val="00B87D3C"/>
    <w:rsid w:val="00BA3D82"/>
    <w:rsid w:val="00BB03B7"/>
    <w:rsid w:val="00BB547F"/>
    <w:rsid w:val="00C223A1"/>
    <w:rsid w:val="00C469F8"/>
    <w:rsid w:val="00C55429"/>
    <w:rsid w:val="00C92C85"/>
    <w:rsid w:val="00C95BB6"/>
    <w:rsid w:val="00C9697E"/>
    <w:rsid w:val="00CC26F2"/>
    <w:rsid w:val="00CC7C81"/>
    <w:rsid w:val="00CE4593"/>
    <w:rsid w:val="00D0755F"/>
    <w:rsid w:val="00D16DDA"/>
    <w:rsid w:val="00D27B9A"/>
    <w:rsid w:val="00D30766"/>
    <w:rsid w:val="00D70BB8"/>
    <w:rsid w:val="00D952DF"/>
    <w:rsid w:val="00DC4524"/>
    <w:rsid w:val="00DE2F90"/>
    <w:rsid w:val="00DF04C6"/>
    <w:rsid w:val="00E47392"/>
    <w:rsid w:val="00E656A8"/>
    <w:rsid w:val="00E67070"/>
    <w:rsid w:val="00EC1B2C"/>
    <w:rsid w:val="00EC65DB"/>
    <w:rsid w:val="00ED6F33"/>
    <w:rsid w:val="00F022B0"/>
    <w:rsid w:val="00F401DA"/>
    <w:rsid w:val="00F437F2"/>
    <w:rsid w:val="00F43856"/>
    <w:rsid w:val="00F438A9"/>
    <w:rsid w:val="00F537DB"/>
    <w:rsid w:val="00FA2F4A"/>
    <w:rsid w:val="00FA42C7"/>
    <w:rsid w:val="00FB1BAE"/>
    <w:rsid w:val="00FF3560"/>
    <w:rsid w:val="127AFA03"/>
    <w:rsid w:val="14822242"/>
    <w:rsid w:val="24D26BE6"/>
    <w:rsid w:val="2CABEDBD"/>
    <w:rsid w:val="316373FC"/>
    <w:rsid w:val="40C45A70"/>
    <w:rsid w:val="48DF5EC4"/>
    <w:rsid w:val="4B866841"/>
    <w:rsid w:val="4DACE330"/>
    <w:rsid w:val="584D7520"/>
    <w:rsid w:val="58E0E199"/>
    <w:rsid w:val="673080A9"/>
    <w:rsid w:val="6E11A4A3"/>
    <w:rsid w:val="7B1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3326F"/>
  <w15:chartTrackingRefBased/>
  <w15:docId w15:val="{E33C72F8-54A9-43B7-B1CD-78B00B3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caption" w:locked="1" w:semiHidden="1" w:unhideWhenUsed="1" w:qFormat="1"/>
    <w:lsdException w:name="footnote reference" w:locked="1"/>
    <w:lsdException w:name="annotation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ED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000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1C7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000ED"/>
    <w:rPr>
      <w:rFonts w:ascii="Cambria" w:eastAsia="Times New Roman" w:hAnsi="Cambria"/>
      <w:b/>
      <w:color w:val="365F91"/>
      <w:sz w:val="28"/>
      <w:lang w:val="en-GB" w:eastAsia="x-none"/>
    </w:rPr>
  </w:style>
  <w:style w:type="paragraph" w:customStyle="1" w:styleId="ListParagraph1">
    <w:name w:val="List Paragraph1"/>
    <w:basedOn w:val="Normal"/>
    <w:qFormat/>
    <w:rsid w:val="008000ED"/>
    <w:pPr>
      <w:ind w:left="720"/>
      <w:contextualSpacing/>
    </w:pPr>
  </w:style>
  <w:style w:type="character" w:styleId="Hyperlink">
    <w:name w:val="Hyperlink"/>
    <w:semiHidden/>
    <w:rsid w:val="008000E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00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8000ED"/>
    <w:rPr>
      <w:rFonts w:ascii="Calibri" w:hAnsi="Calibri"/>
      <w:sz w:val="20"/>
      <w:lang w:val="en-GB" w:eastAsia="x-none"/>
    </w:rPr>
  </w:style>
  <w:style w:type="character" w:styleId="FootnoteReference">
    <w:name w:val="footnote reference"/>
    <w:semiHidden/>
    <w:rsid w:val="008000ED"/>
    <w:rPr>
      <w:vertAlign w:val="superscript"/>
    </w:rPr>
  </w:style>
  <w:style w:type="character" w:styleId="CommentReference">
    <w:name w:val="annotation reference"/>
    <w:semiHidden/>
    <w:rsid w:val="008000ED"/>
    <w:rPr>
      <w:sz w:val="16"/>
    </w:rPr>
  </w:style>
  <w:style w:type="paragraph" w:styleId="CommentText">
    <w:name w:val="annotation text"/>
    <w:basedOn w:val="Normal"/>
    <w:link w:val="CommentTextChar"/>
    <w:semiHidden/>
    <w:rsid w:val="00800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000ED"/>
    <w:rPr>
      <w:rFonts w:ascii="Calibri" w:hAnsi="Calibri"/>
      <w:sz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80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000ED"/>
    <w:rPr>
      <w:rFonts w:ascii="Tahoma" w:hAnsi="Tahoma"/>
      <w:sz w:val="16"/>
      <w:lang w:val="en-GB" w:eastAsia="x-none"/>
    </w:rPr>
  </w:style>
  <w:style w:type="paragraph" w:styleId="Title">
    <w:name w:val="Title"/>
    <w:basedOn w:val="Normal"/>
    <w:next w:val="Normal"/>
    <w:link w:val="TitleChar"/>
    <w:qFormat/>
    <w:rsid w:val="005135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513583"/>
    <w:rPr>
      <w:rFonts w:ascii="Cambria" w:hAnsi="Cambria"/>
      <w:color w:val="17365D"/>
      <w:spacing w:val="5"/>
      <w:kern w:val="28"/>
      <w:sz w:val="52"/>
      <w:lang w:val="en-GB" w:eastAsia="x-none"/>
    </w:rPr>
  </w:style>
  <w:style w:type="paragraph" w:styleId="Subtitle">
    <w:name w:val="Subtitle"/>
    <w:basedOn w:val="Normal"/>
    <w:next w:val="Normal"/>
    <w:link w:val="SubtitleChar"/>
    <w:qFormat/>
    <w:rsid w:val="0051358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513583"/>
    <w:rPr>
      <w:rFonts w:ascii="Cambria" w:hAnsi="Cambria"/>
      <w:i/>
      <w:color w:val="4F81BD"/>
      <w:spacing w:val="15"/>
      <w:sz w:val="24"/>
      <w:lang w:val="en-GB" w:eastAsia="x-none"/>
    </w:rPr>
  </w:style>
  <w:style w:type="character" w:customStyle="1" w:styleId="Heading2Char">
    <w:name w:val="Heading 2 Char"/>
    <w:link w:val="Heading2"/>
    <w:locked/>
    <w:rsid w:val="008A1C79"/>
    <w:rPr>
      <w:rFonts w:ascii="Cambria" w:hAnsi="Cambria"/>
      <w:b/>
      <w:color w:val="4F81BD"/>
      <w:sz w:val="26"/>
      <w:lang w:val="en-GB" w:eastAsia="x-none"/>
    </w:rPr>
  </w:style>
  <w:style w:type="paragraph" w:styleId="Footer">
    <w:name w:val="footer"/>
    <w:basedOn w:val="Normal"/>
    <w:rsid w:val="002B770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B770C"/>
  </w:style>
  <w:style w:type="paragraph" w:styleId="Header">
    <w:name w:val="header"/>
    <w:basedOn w:val="Normal"/>
    <w:rsid w:val="002B770C"/>
    <w:pPr>
      <w:tabs>
        <w:tab w:val="center" w:pos="4677"/>
        <w:tab w:val="right" w:pos="9355"/>
      </w:tabs>
    </w:pPr>
  </w:style>
  <w:style w:type="paragraph" w:customStyle="1" w:styleId="ListParagraph2">
    <w:name w:val="List Paragraph2"/>
    <w:basedOn w:val="Normal"/>
    <w:uiPriority w:val="34"/>
    <w:qFormat/>
    <w:rsid w:val="00ED6F33"/>
    <w:pPr>
      <w:ind w:left="720"/>
      <w:contextualSpacing/>
    </w:pPr>
    <w:rPr>
      <w:rFonts w:eastAsia="Times New Roman"/>
    </w:rPr>
  </w:style>
  <w:style w:type="character" w:customStyle="1" w:styleId="a">
    <w:name w:val="Текст виноски Знак"/>
    <w:locked/>
    <w:rsid w:val="00442CFD"/>
    <w:rPr>
      <w:rFonts w:eastAsia="Times New Roman"/>
      <w:lang w:val="en-GB" w:eastAsia="en-US"/>
    </w:rPr>
  </w:style>
  <w:style w:type="character" w:styleId="FollowedHyperlink">
    <w:name w:val="FollowedHyperlink"/>
    <w:basedOn w:val="DefaultParagraphFont"/>
    <w:rsid w:val="005020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ec.europa.eu/europeaid/work/procedures/implementation/per_diems/index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peaid/prag/document.do?nodeNumber=2.3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B3E04E36F43B4F9E89727E1EF69305" ma:contentTypeVersion="10" ma:contentTypeDescription="Створення нового документа." ma:contentTypeScope="" ma:versionID="890a9dfc05005ebd0f21721aa70ad4ee">
  <xsd:schema xmlns:xsd="http://www.w3.org/2001/XMLSchema" xmlns:xs="http://www.w3.org/2001/XMLSchema" xmlns:p="http://schemas.microsoft.com/office/2006/metadata/properties" xmlns:ns2="2d7a0037-fdde-4a96-a166-81caad2f66d3" xmlns:ns3="93aa4506-83b4-4527-a860-ea4693e4f42a" targetNamespace="http://schemas.microsoft.com/office/2006/metadata/properties" ma:root="true" ma:fieldsID="1a3512e41a5f3ab8a2a35bc33ac7a276" ns2:_="" ns3:_="">
    <xsd:import namespace="2d7a0037-fdde-4a96-a166-81caad2f66d3"/>
    <xsd:import namespace="93aa4506-83b4-4527-a860-ea4693e4f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0037-fdde-4a96-a166-81caad2f6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4506-83b4-4527-a860-ea4693e4f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7EFAF-865A-4D12-A7DE-5E0C03054D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85F502-13F6-4989-BBFE-9857A7CA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0037-fdde-4a96-a166-81caad2f66d3"/>
    <ds:schemaRef ds:uri="93aa4506-83b4-4527-a860-ea4693e4f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A717A-934D-4BAE-AF89-15756B266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ПРИЙНЯТНОСТІ</dc:title>
  <dc:subject/>
  <dc:creator>Iryna Kosse</dc:creator>
  <cp:keywords/>
  <cp:lastModifiedBy>Asus</cp:lastModifiedBy>
  <cp:revision>12</cp:revision>
  <dcterms:created xsi:type="dcterms:W3CDTF">2020-12-24T10:17:00Z</dcterms:created>
  <dcterms:modified xsi:type="dcterms:W3CDTF">2023-01-30T21:48:00Z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Kostiantyn Mykhailychenko</vt:lpwstr>
  </property>
  <property fmtid="{D5CDD505-2E9C-101B-9397-08002B2CF9AE}" pid="3" name="Order">
    <vt:lpwstr>57600.0000000000</vt:lpwstr>
  </property>
  <property fmtid="{D5CDD505-2E9C-101B-9397-08002B2CF9AE}" pid="4" name="display_urn:schemas-microsoft-com:office:office#Author">
    <vt:lpwstr>Kostiantyn Mykhailychenko</vt:lpwstr>
  </property>
</Properties>
</file>